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CC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</w:t>
      </w:r>
    </w:p>
    <w:p w14:paraId="41409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</w:p>
    <w:p w14:paraId="3AE71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教育科学学院2027年接收优秀应届本科毕业生复试</w:t>
      </w:r>
    </w:p>
    <w:p w14:paraId="362FF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学术成果加分细则</w:t>
      </w:r>
    </w:p>
    <w:p w14:paraId="47FDB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5E0D5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为规范研究生复试学术成果加分认定工作，根据相关规定和学院实际，特制定本细则。</w:t>
      </w:r>
    </w:p>
    <w:p w14:paraId="31F3C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default" w:ascii="Times New Roman" w:hAnsi="Times New Roman" w:eastAsia="仿宋" w:cs="Times New Roman"/>
          <w:b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一、总则</w:t>
      </w:r>
    </w:p>
    <w:p w14:paraId="5A3DE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1.学术成果加分纳入研究生复试总成绩，累计加分不超过10分。</w:t>
      </w:r>
    </w:p>
    <w:p w14:paraId="6AAB5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2.成果须与报考专业相关，且为独立作者或第一作者（通讯作者不认定）。</w:t>
      </w:r>
    </w:p>
    <w:p w14:paraId="77303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28"/>
          <w:szCs w:val="28"/>
        </w:rPr>
        <w:t>学术论文需在具有正式刊号的期刊、论文集或学术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著作</w:t>
      </w:r>
      <w:r>
        <w:rPr>
          <w:rFonts w:hint="default" w:ascii="Times New Roman" w:hAnsi="Times New Roman" w:eastAsia="仿宋" w:cs="Times New Roman"/>
          <w:sz w:val="28"/>
          <w:szCs w:val="28"/>
        </w:rPr>
        <w:t>中发表；网络首发论文需提供检索证明。</w:t>
      </w:r>
    </w:p>
    <w:p w14:paraId="35575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default" w:ascii="Times New Roman" w:hAnsi="Times New Roman" w:eastAsia="仿宋" w:cs="Times New Roman"/>
          <w:b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二、加分标准</w:t>
      </w:r>
    </w:p>
    <w:p w14:paraId="292EE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1.一般期刊</w:t>
      </w:r>
    </w:p>
    <w:p w14:paraId="0C64F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每篇加1分，字数不足3000字者按0.5分计。</w:t>
      </w:r>
    </w:p>
    <w:p w14:paraId="18FE0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限篇规则：</w:t>
      </w:r>
    </w:p>
    <w:p w14:paraId="48EE1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1年</w:t>
      </w:r>
      <w:r>
        <w:rPr>
          <w:rFonts w:hint="default" w:ascii="Times New Roman" w:hAnsi="Times New Roman" w:eastAsia="仿宋" w:cs="Times New Roman"/>
          <w:sz w:val="28"/>
          <w:szCs w:val="28"/>
        </w:rPr>
        <w:t>内在同一普通期刊发表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多</w:t>
      </w:r>
      <w:r>
        <w:rPr>
          <w:rFonts w:hint="default" w:ascii="Times New Roman" w:hAnsi="Times New Roman" w:eastAsia="仿宋" w:cs="Times New Roman"/>
          <w:sz w:val="28"/>
          <w:szCs w:val="28"/>
        </w:rPr>
        <w:t>篇论文的，仅认定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28"/>
          <w:szCs w:val="28"/>
        </w:rPr>
        <w:t>篇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；</w:t>
      </w:r>
    </w:p>
    <w:p w14:paraId="2F71B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（2）在同一论文集中发表多篇论文的，仅认定1篇。 </w:t>
      </w:r>
    </w:p>
    <w:p w14:paraId="5B7D9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color w:val="FF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2.《中文核心期刊要目总览》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28"/>
          <w:szCs w:val="28"/>
        </w:rPr>
        <w:t>又称北大核心期刊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）、</w:t>
      </w:r>
      <w:r>
        <w:rPr>
          <w:rFonts w:hint="default" w:ascii="Times New Roman" w:hAnsi="Times New Roman" w:eastAsia="仿宋" w:cs="Times New Roman"/>
          <w:sz w:val="28"/>
          <w:szCs w:val="28"/>
        </w:rPr>
        <w:t>CSSCI期刊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扩展版</w:t>
      </w:r>
      <w:r>
        <w:rPr>
          <w:rFonts w:hint="default" w:ascii="Times New Roman" w:hAnsi="Times New Roman" w:eastAsia="仿宋" w:cs="Times New Roman"/>
          <w:sz w:val="28"/>
          <w:szCs w:val="28"/>
        </w:rPr>
        <w:t>）：每篇加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28"/>
          <w:szCs w:val="28"/>
        </w:rPr>
        <w:t>分，可累计。</w:t>
      </w:r>
    </w:p>
    <w:p w14:paraId="4444C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3.SCI、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SSCI、</w:t>
      </w:r>
      <w:r>
        <w:rPr>
          <w:rFonts w:hint="default" w:ascii="Times New Roman" w:hAnsi="Times New Roman" w:eastAsia="仿宋" w:cs="Times New Roman"/>
          <w:sz w:val="28"/>
          <w:szCs w:val="28"/>
        </w:rPr>
        <w:t>CSSCI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来源</w:t>
      </w:r>
      <w:r>
        <w:rPr>
          <w:rFonts w:hint="default" w:ascii="Times New Roman" w:hAnsi="Times New Roman" w:eastAsia="仿宋" w:cs="Times New Roman"/>
          <w:sz w:val="28"/>
          <w:szCs w:val="28"/>
        </w:rPr>
        <w:t>期刊：每篇加10分，可累计。</w:t>
      </w:r>
    </w:p>
    <w:p w14:paraId="4213F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default" w:ascii="Times New Roman" w:hAnsi="Times New Roman" w:eastAsia="仿宋" w:cs="Times New Roman"/>
          <w:b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三、认定规则</w:t>
      </w:r>
    </w:p>
    <w:p w14:paraId="1A3AB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1. 合作论文</w:t>
      </w:r>
    </w:p>
    <w:p w14:paraId="0FB02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独立作者或第一作者论文方可加分；  </w:t>
      </w:r>
    </w:p>
    <w:p w14:paraId="4590F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作者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人数</w:t>
      </w:r>
      <w:r>
        <w:rPr>
          <w:rFonts w:hint="default" w:ascii="Times New Roman" w:hAnsi="Times New Roman" w:eastAsia="仿宋" w:cs="Times New Roman"/>
          <w:sz w:val="28"/>
          <w:szCs w:val="28"/>
        </w:rPr>
        <w:t xml:space="preserve">为4人及以上者，排名第一的按分值×0.6系数计算（例：一般期刊论文1分×0.6=0.6分）。  </w:t>
      </w:r>
    </w:p>
    <w:p w14:paraId="24DC5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第二及之后作者不予认定。  </w:t>
      </w:r>
    </w:p>
    <w:p w14:paraId="30EE2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2. 成果时效：仅认定复试材料提交截止日期前公开发表的成果。  </w:t>
      </w:r>
    </w:p>
    <w:p w14:paraId="735D3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3. 重复认定：同一成果不得跨类别重复计分（如专著与论文内容重复，仅取最高分）。  </w:t>
      </w:r>
    </w:p>
    <w:p w14:paraId="1E1A5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default" w:ascii="Times New Roman" w:hAnsi="Times New Roman" w:eastAsia="仿宋" w:cs="Times New Roman"/>
          <w:b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  <w:lang w:val="en-US" w:eastAsia="zh-CN"/>
        </w:rPr>
        <w:t>四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、附则</w:t>
      </w:r>
    </w:p>
    <w:p w14:paraId="47F57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1.本细则由院学术委员会负责解释，争议事项由委员会集体裁定。</w:t>
      </w:r>
    </w:p>
    <w:p w14:paraId="321C3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2.未尽事宜参照学校及学院相关规定执行。</w:t>
      </w:r>
    </w:p>
    <w:p w14:paraId="71194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3.本细则自发布之日起实施。</w:t>
      </w:r>
    </w:p>
    <w:p w14:paraId="15E5D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601E2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</w:p>
    <w:p w14:paraId="4CD5DF04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FEC18FA-732B-4F3E-A36A-9E4D3FAA38C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3EED5C9-0DCE-421E-8849-57C6DE4F3AB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CE62D54-A542-42A8-A83F-5458D63C1B8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C2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2026-09-20T11:40:14Z</dcterms:created>
  <dc:creator>HP</dc:creator>
  <cp:lastModifiedBy>C</cp:lastModifiedBy>
  <dcterms:modified xsi:type="dcterms:W3CDTF">2026-09-20T11:40:21Z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eyJoZGlkIjoiMDQ4MDYyNzI3ZWE3Njg1NmI1Zjg3ZTEzZmNhNTEwNzEiLCJ1c2VySWQiOiIxNDExODcyMjc1In0=</vt:lpwstr>
  </property>
  <property fmtid="{D5CDD505-2E9C-101B-9397-08002B2CF9AE}" pid="4" name="ICV">
    <vt:lpwstr>22B05E064ADB4CCA8E2836C06DEB6812_12</vt:lpwstr>
  </property>
</Properties>
</file>