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816E35">
      <w:pPr>
        <w:keepLines/>
        <w:spacing w:line="280" w:lineRule="exact"/>
        <w:rPr>
          <w:rFonts w:hint="eastAsia" w:ascii="宋体" w:hAnsi="宋体" w:cs="宋体" w:eastAsiaTheme="minorEastAsia"/>
          <w:color w:val="auto"/>
          <w:sz w:val="18"/>
          <w:szCs w:val="18"/>
          <w:lang w:eastAsia="zh-CN"/>
        </w:rPr>
      </w:pPr>
      <w:r>
        <w:rPr>
          <w:rFonts w:hint="eastAsia" w:ascii="宋体" w:hAnsi="宋体" w:cs="宋体"/>
          <w:color w:val="auto"/>
          <w:szCs w:val="21"/>
        </w:rPr>
        <w:t>附件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3</w:t>
      </w:r>
    </w:p>
    <w:p w14:paraId="2081B1A4">
      <w:pPr>
        <w:keepLines/>
        <w:spacing w:line="280" w:lineRule="exact"/>
        <w:jc w:val="center"/>
        <w:rPr>
          <w:rFonts w:hint="eastAsia" w:ascii="Times New Roman" w:hAnsi="Times New Roman" w:eastAsia="黑体" w:cs="黑体"/>
          <w:color w:val="auto"/>
          <w:sz w:val="28"/>
          <w:szCs w:val="36"/>
        </w:rPr>
      </w:pPr>
      <w:r>
        <w:rPr>
          <w:rFonts w:hint="eastAsia" w:ascii="Times New Roman" w:hAnsi="Times New Roman" w:eastAsia="黑体" w:cs="黑体"/>
          <w:color w:val="auto"/>
          <w:sz w:val="28"/>
          <w:szCs w:val="36"/>
        </w:rPr>
        <w:t>四川师范大学教育科学学院</w:t>
      </w:r>
    </w:p>
    <w:p w14:paraId="7F70E652">
      <w:pPr>
        <w:keepLines/>
        <w:spacing w:line="280" w:lineRule="exact"/>
        <w:jc w:val="center"/>
        <w:rPr>
          <w:rFonts w:ascii="Times New Roman" w:hAnsi="Times New Roman" w:eastAsia="黑体" w:cs="黑体"/>
          <w:color w:val="auto"/>
          <w:sz w:val="28"/>
          <w:szCs w:val="36"/>
        </w:rPr>
      </w:pPr>
      <w:r>
        <w:rPr>
          <w:rFonts w:hint="eastAsia" w:ascii="Times New Roman" w:hAnsi="Times New Roman" w:eastAsia="黑体" w:cs="黑体"/>
          <w:color w:val="auto"/>
          <w:sz w:val="28"/>
          <w:szCs w:val="36"/>
          <w:u w:val="single"/>
        </w:rPr>
        <w:t>202</w:t>
      </w:r>
      <w:r>
        <w:rPr>
          <w:rFonts w:hint="eastAsia" w:ascii="Times New Roman" w:hAnsi="Times New Roman" w:eastAsia="黑体" w:cs="黑体"/>
          <w:color w:val="auto"/>
          <w:sz w:val="28"/>
          <w:szCs w:val="36"/>
          <w:u w:val="single"/>
          <w:lang w:val="en-US" w:eastAsia="zh-CN"/>
        </w:rPr>
        <w:t>6</w:t>
      </w:r>
      <w:r>
        <w:rPr>
          <w:rFonts w:hint="eastAsia" w:ascii="Times New Roman" w:hAnsi="Times New Roman" w:eastAsia="黑体" w:cs="黑体"/>
          <w:color w:val="auto"/>
          <w:sz w:val="28"/>
          <w:szCs w:val="36"/>
        </w:rPr>
        <w:t>年</w:t>
      </w:r>
      <w:r>
        <w:rPr>
          <w:rFonts w:hint="eastAsia" w:ascii="Times New Roman" w:hAnsi="Times New Roman" w:eastAsia="黑体" w:cs="黑体"/>
          <w:color w:val="auto"/>
          <w:sz w:val="28"/>
          <w:szCs w:val="36"/>
          <w:u w:val="single"/>
        </w:rPr>
        <w:t>专业型</w:t>
      </w:r>
      <w:r>
        <w:rPr>
          <w:rFonts w:hint="eastAsia" w:ascii="Times New Roman" w:hAnsi="Times New Roman" w:eastAsia="黑体" w:cs="黑体"/>
          <w:color w:val="auto"/>
          <w:sz w:val="28"/>
          <w:szCs w:val="36"/>
        </w:rPr>
        <w:t>博士考生成果清单与必要佐证材料</w:t>
      </w:r>
    </w:p>
    <w:tbl>
      <w:tblPr>
        <w:tblStyle w:val="2"/>
        <w:tblW w:w="111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69"/>
        <w:gridCol w:w="1794"/>
        <w:gridCol w:w="1208"/>
        <w:gridCol w:w="2158"/>
        <w:gridCol w:w="1500"/>
        <w:gridCol w:w="956"/>
        <w:gridCol w:w="1709"/>
        <w:gridCol w:w="781"/>
      </w:tblGrid>
      <w:tr w14:paraId="08E9B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079" w:type="dxa"/>
            <w:gridSpan w:val="2"/>
            <w:noWrap w:val="0"/>
            <w:vAlign w:val="top"/>
          </w:tcPr>
          <w:p w14:paraId="086264B1">
            <w:pPr>
              <w:keepLines/>
              <w:spacing w:line="360" w:lineRule="auto"/>
              <w:jc w:val="center"/>
              <w:rPr>
                <w:rFonts w:hint="eastAsia"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姓  名</w:t>
            </w:r>
          </w:p>
        </w:tc>
        <w:tc>
          <w:tcPr>
            <w:tcW w:w="1794" w:type="dxa"/>
            <w:noWrap w:val="0"/>
            <w:vAlign w:val="top"/>
          </w:tcPr>
          <w:p w14:paraId="6365CD37">
            <w:pPr>
              <w:keepLines/>
              <w:spacing w:line="360" w:lineRule="auto"/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张三</w:t>
            </w:r>
          </w:p>
        </w:tc>
        <w:tc>
          <w:tcPr>
            <w:tcW w:w="1208" w:type="dxa"/>
            <w:noWrap w:val="0"/>
            <w:vAlign w:val="top"/>
          </w:tcPr>
          <w:p w14:paraId="5319E4F3">
            <w:pPr>
              <w:keepLines/>
              <w:spacing w:line="360" w:lineRule="auto"/>
              <w:jc w:val="center"/>
              <w:rPr>
                <w:rFonts w:hint="eastAsia"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专业代码</w:t>
            </w:r>
          </w:p>
        </w:tc>
        <w:tc>
          <w:tcPr>
            <w:tcW w:w="2158" w:type="dxa"/>
            <w:noWrap w:val="0"/>
            <w:vAlign w:val="top"/>
          </w:tcPr>
          <w:p w14:paraId="775865BB">
            <w:pPr>
              <w:keepLines/>
              <w:spacing w:line="360" w:lineRule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2"/>
              </w:rPr>
              <w:t>（须与专业目录一致）</w:t>
            </w:r>
          </w:p>
        </w:tc>
        <w:tc>
          <w:tcPr>
            <w:tcW w:w="1500" w:type="dxa"/>
            <w:noWrap w:val="0"/>
            <w:vAlign w:val="top"/>
          </w:tcPr>
          <w:p w14:paraId="59D5E728">
            <w:pPr>
              <w:keepLines/>
              <w:spacing w:line="360" w:lineRule="auto"/>
              <w:jc w:val="center"/>
              <w:rPr>
                <w:rFonts w:hint="eastAsia"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专    业</w:t>
            </w:r>
          </w:p>
        </w:tc>
        <w:tc>
          <w:tcPr>
            <w:tcW w:w="3446" w:type="dxa"/>
            <w:gridSpan w:val="3"/>
            <w:noWrap w:val="0"/>
            <w:vAlign w:val="top"/>
          </w:tcPr>
          <w:p w14:paraId="66315AC5">
            <w:pPr>
              <w:keepLines/>
              <w:spacing w:line="360" w:lineRule="auto"/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写全称</w:t>
            </w:r>
            <w:r>
              <w:rPr>
                <w:rFonts w:hint="eastAsia" w:ascii="Times New Roman" w:hAnsi="Times New Roman"/>
                <w:color w:val="auto"/>
                <w:sz w:val="20"/>
                <w:szCs w:val="22"/>
              </w:rPr>
              <w:t>（须与专业目录一致）</w:t>
            </w:r>
          </w:p>
        </w:tc>
      </w:tr>
      <w:tr w14:paraId="00DEC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079" w:type="dxa"/>
            <w:gridSpan w:val="2"/>
            <w:noWrap w:val="0"/>
            <w:vAlign w:val="top"/>
          </w:tcPr>
          <w:p w14:paraId="604EC86A">
            <w:pPr>
              <w:keepLines/>
              <w:spacing w:line="360" w:lineRule="auto"/>
              <w:jc w:val="center"/>
              <w:rPr>
                <w:rFonts w:hint="eastAsia"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考生号</w:t>
            </w:r>
          </w:p>
        </w:tc>
        <w:tc>
          <w:tcPr>
            <w:tcW w:w="1794" w:type="dxa"/>
            <w:noWrap w:val="0"/>
            <w:vAlign w:val="top"/>
          </w:tcPr>
          <w:p w14:paraId="47364092">
            <w:pPr>
              <w:keepLines/>
              <w:spacing w:line="360" w:lineRule="auto"/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“研招网”报名号</w:t>
            </w:r>
          </w:p>
        </w:tc>
        <w:tc>
          <w:tcPr>
            <w:tcW w:w="1208" w:type="dxa"/>
            <w:noWrap w:val="0"/>
            <w:vAlign w:val="top"/>
          </w:tcPr>
          <w:p w14:paraId="16893295">
            <w:pPr>
              <w:keepLines/>
              <w:spacing w:line="360" w:lineRule="auto"/>
              <w:jc w:val="center"/>
              <w:rPr>
                <w:rFonts w:hint="eastAsia"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联系电话</w:t>
            </w:r>
          </w:p>
        </w:tc>
        <w:tc>
          <w:tcPr>
            <w:tcW w:w="2158" w:type="dxa"/>
            <w:noWrap w:val="0"/>
            <w:vAlign w:val="top"/>
          </w:tcPr>
          <w:p w14:paraId="036985D8">
            <w:pPr>
              <w:keepLines/>
              <w:spacing w:line="360" w:lineRule="auto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500" w:type="dxa"/>
            <w:noWrap w:val="0"/>
            <w:vAlign w:val="top"/>
          </w:tcPr>
          <w:p w14:paraId="4B74FE8F">
            <w:pPr>
              <w:keepLines/>
              <w:spacing w:line="360" w:lineRule="auto"/>
              <w:jc w:val="center"/>
              <w:rPr>
                <w:rFonts w:hint="eastAsia"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电子邮箱</w:t>
            </w:r>
          </w:p>
        </w:tc>
        <w:tc>
          <w:tcPr>
            <w:tcW w:w="3446" w:type="dxa"/>
            <w:gridSpan w:val="3"/>
            <w:noWrap w:val="0"/>
            <w:vAlign w:val="top"/>
          </w:tcPr>
          <w:p w14:paraId="6494DD13">
            <w:pPr>
              <w:keepLines/>
              <w:spacing w:line="360" w:lineRule="auto"/>
              <w:jc w:val="center"/>
              <w:rPr>
                <w:rFonts w:hint="eastAsia" w:ascii="Times New Roman" w:hAnsi="Times New Roman"/>
                <w:color w:val="auto"/>
              </w:rPr>
            </w:pPr>
          </w:p>
        </w:tc>
      </w:tr>
      <w:tr w14:paraId="327E6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079" w:type="dxa"/>
            <w:gridSpan w:val="2"/>
            <w:noWrap w:val="0"/>
            <w:vAlign w:val="center"/>
          </w:tcPr>
          <w:p w14:paraId="057DA63D">
            <w:pPr>
              <w:keepLines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外语水平</w:t>
            </w:r>
          </w:p>
        </w:tc>
        <w:tc>
          <w:tcPr>
            <w:tcW w:w="5160" w:type="dxa"/>
            <w:gridSpan w:val="3"/>
            <w:noWrap w:val="0"/>
            <w:vAlign w:val="top"/>
          </w:tcPr>
          <w:p w14:paraId="79351118">
            <w:pPr>
              <w:keepLines/>
              <w:snapToGrid w:val="0"/>
              <w:spacing w:line="260" w:lineRule="exact"/>
              <w:jc w:val="left"/>
              <w:rPr>
                <w:rFonts w:ascii="Times New Roman" w:hAnsi="Times New Roman"/>
                <w:color w:val="auto"/>
                <w:sz w:val="18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 w:val="15"/>
                <w:szCs w:val="15"/>
              </w:rPr>
              <w:t>CET-4</w:t>
            </w:r>
            <w:r>
              <w:rPr>
                <w:rFonts w:hint="eastAsia" w:ascii="Times New Roman" w:hAnsi="Times New Roman"/>
                <w:color w:val="auto"/>
                <w:sz w:val="15"/>
                <w:szCs w:val="15"/>
                <w:lang w:eastAsia="zh-CN"/>
              </w:rPr>
              <w:t>：</w:t>
            </w:r>
            <w:r>
              <w:rPr>
                <w:rFonts w:hint="eastAsia" w:ascii="Times New Roman" w:hAnsi="Times New Roman"/>
                <w:color w:val="auto"/>
                <w:sz w:val="15"/>
                <w:szCs w:val="15"/>
                <w:lang w:val="en-US" w:eastAsia="zh-CN"/>
              </w:rPr>
              <w:t>450</w:t>
            </w:r>
            <w:r>
              <w:rPr>
                <w:rFonts w:hint="eastAsia" w:ascii="Times New Roman" w:hAnsi="Times New Roman"/>
                <w:color w:val="auto"/>
                <w:sz w:val="15"/>
                <w:szCs w:val="15"/>
              </w:rPr>
              <w:t>/CET-6</w:t>
            </w:r>
            <w:r>
              <w:rPr>
                <w:rFonts w:hint="eastAsia" w:ascii="Times New Roman" w:hAnsi="Times New Roman"/>
                <w:color w:val="auto"/>
                <w:sz w:val="15"/>
                <w:szCs w:val="15"/>
                <w:lang w:eastAsia="zh-CN"/>
              </w:rPr>
              <w:t>：</w:t>
            </w:r>
            <w:r>
              <w:rPr>
                <w:rFonts w:hint="eastAsia" w:ascii="Times New Roman" w:hAnsi="Times New Roman"/>
                <w:color w:val="auto"/>
                <w:sz w:val="15"/>
                <w:szCs w:val="15"/>
                <w:lang w:val="en-US" w:eastAsia="zh-CN"/>
              </w:rPr>
              <w:t>425</w:t>
            </w:r>
            <w:r>
              <w:rPr>
                <w:rFonts w:hint="eastAsia" w:ascii="Times New Roman" w:hAnsi="Times New Roman"/>
                <w:color w:val="auto"/>
                <w:sz w:val="15"/>
                <w:szCs w:val="15"/>
              </w:rPr>
              <w:t>（合格）、雅思：</w:t>
            </w:r>
            <w:r>
              <w:rPr>
                <w:rFonts w:hint="eastAsia" w:ascii="Times New Roman" w:hAnsi="Times New Roman"/>
                <w:color w:val="auto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Times New Roman" w:hAnsi="Times New Roman"/>
                <w:color w:val="auto"/>
                <w:sz w:val="15"/>
                <w:szCs w:val="15"/>
              </w:rPr>
              <w:t>/托福：80/TEM-4或8：合格/</w:t>
            </w:r>
            <w:r>
              <w:rPr>
                <w:rFonts w:hint="eastAsia" w:ascii="Times New Roman" w:hAnsi="Times New Roman"/>
                <w:color w:val="auto"/>
                <w:sz w:val="15"/>
                <w:szCs w:val="15"/>
                <w:lang w:val="en-US" w:eastAsia="zh-CN"/>
              </w:rPr>
              <w:t>新GRE：154及以上/</w:t>
            </w:r>
            <w:r>
              <w:rPr>
                <w:rFonts w:hint="eastAsia" w:ascii="Times New Roman" w:hAnsi="Times New Roman"/>
                <w:color w:val="auto"/>
                <w:sz w:val="15"/>
                <w:szCs w:val="15"/>
              </w:rPr>
              <w:t>发表英语学术论文/留学英语国家</w:t>
            </w:r>
            <w:r>
              <w:rPr>
                <w:rFonts w:hint="eastAsia" w:ascii="Times New Roman" w:hAnsi="Times New Roman"/>
                <w:b/>
                <w:bCs/>
                <w:color w:val="auto"/>
                <w:sz w:val="15"/>
                <w:szCs w:val="15"/>
              </w:rPr>
              <w:t>（填达标的最高一项即可）</w:t>
            </w:r>
          </w:p>
        </w:tc>
        <w:tc>
          <w:tcPr>
            <w:tcW w:w="1500" w:type="dxa"/>
            <w:noWrap w:val="0"/>
            <w:vAlign w:val="top"/>
          </w:tcPr>
          <w:p w14:paraId="3694FD26">
            <w:pPr>
              <w:keepLines/>
              <w:jc w:val="center"/>
              <w:rPr>
                <w:rFonts w:hint="eastAsia"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硕士阶段</w:t>
            </w:r>
          </w:p>
          <w:p w14:paraId="523DF0EC">
            <w:pPr>
              <w:keepLines/>
              <w:jc w:val="center"/>
              <w:rPr>
                <w:rFonts w:ascii="Times New Roman" w:hAnsi="Times New Roman"/>
                <w:color w:val="auto"/>
                <w:sz w:val="18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平均成绩</w:t>
            </w:r>
          </w:p>
        </w:tc>
        <w:tc>
          <w:tcPr>
            <w:tcW w:w="3446" w:type="dxa"/>
            <w:gridSpan w:val="3"/>
            <w:noWrap w:val="0"/>
            <w:vAlign w:val="center"/>
          </w:tcPr>
          <w:p w14:paraId="6603B352">
            <w:pPr>
              <w:keepLines/>
              <w:spacing w:line="360" w:lineRule="auto"/>
              <w:jc w:val="center"/>
              <w:rPr>
                <w:rFonts w:ascii="Times New Roman" w:hAnsi="Times New Roman"/>
                <w:color w:val="auto"/>
                <w:sz w:val="15"/>
                <w:szCs w:val="15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成绩单上所有百分制成绩的算术平均分</w:t>
            </w:r>
          </w:p>
        </w:tc>
      </w:tr>
      <w:tr w14:paraId="3FA62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9" w:type="dxa"/>
            <w:gridSpan w:val="2"/>
            <w:noWrap w:val="0"/>
            <w:vAlign w:val="center"/>
          </w:tcPr>
          <w:p w14:paraId="768F0F9B">
            <w:pPr>
              <w:keepLines/>
              <w:jc w:val="center"/>
              <w:rPr>
                <w:rFonts w:hint="eastAsia"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注意</w:t>
            </w:r>
          </w:p>
          <w:p w14:paraId="1B5C5F07">
            <w:pPr>
              <w:keepLines/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事项</w:t>
            </w:r>
          </w:p>
        </w:tc>
        <w:tc>
          <w:tcPr>
            <w:tcW w:w="10106" w:type="dxa"/>
            <w:gridSpan w:val="7"/>
            <w:noWrap w:val="0"/>
            <w:vAlign w:val="center"/>
          </w:tcPr>
          <w:p w14:paraId="7ADD306E">
            <w:pPr>
              <w:keepLines/>
              <w:numPr>
                <w:ilvl w:val="0"/>
                <w:numId w:val="1"/>
              </w:numPr>
              <w:spacing w:line="260" w:lineRule="exact"/>
              <w:jc w:val="left"/>
              <w:rPr>
                <w:rFonts w:ascii="Times New Roman" w:hAnsi="Times New Roman"/>
                <w:color w:val="auto"/>
                <w:sz w:val="18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成果统计区间为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u w:val="single"/>
              </w:rPr>
              <w:t>202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u w:val="singl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年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u w:val="single"/>
                <w:lang w:val="en-US" w:eastAsia="zh-CN"/>
              </w:rPr>
              <w:t>3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月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u w:val="singl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日至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u w:val="single"/>
              </w:rPr>
              <w:t>202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u w:val="single"/>
                <w:lang w:val="en-US" w:eastAsia="zh-CN"/>
              </w:rPr>
              <w:t>6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年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u w:val="single"/>
                <w:lang w:val="en-US" w:eastAsia="zh-CN"/>
              </w:rPr>
              <w:t>3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u w:val="single"/>
              </w:rPr>
              <w:t>月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u w:val="single"/>
                <w:lang w:val="en-US" w:eastAsia="zh-CN"/>
              </w:rPr>
              <w:t>2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u w:val="single"/>
              </w:rPr>
              <w:t>日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，不要填写非本时段的成果。</w:t>
            </w:r>
          </w:p>
          <w:p w14:paraId="26088371">
            <w:pPr>
              <w:keepLines/>
              <w:numPr>
                <w:ilvl w:val="0"/>
                <w:numId w:val="1"/>
              </w:numPr>
              <w:spacing w:line="260" w:lineRule="exact"/>
              <w:jc w:val="left"/>
              <w:rPr>
                <w:rFonts w:hint="eastAsia" w:ascii="Times New Roman" w:hAnsi="Times New Roman"/>
                <w:color w:val="auto"/>
                <w:sz w:val="18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以下栏目</w:t>
            </w:r>
            <w:r>
              <w:rPr>
                <w:rFonts w:hint="eastAsia" w:ascii="Times New Roman" w:hAnsi="Times New Roman"/>
                <w:b/>
                <w:bCs/>
                <w:color w:val="auto"/>
                <w:sz w:val="18"/>
                <w:szCs w:val="21"/>
              </w:rPr>
              <w:t>每类成果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请务必择要并按</w:t>
            </w:r>
            <w:r>
              <w:rPr>
                <w:rFonts w:hint="eastAsia" w:ascii="Times New Roman" w:hAnsi="Times New Roman"/>
                <w:b/>
                <w:bCs/>
                <w:color w:val="auto"/>
                <w:sz w:val="18"/>
                <w:szCs w:val="21"/>
              </w:rPr>
              <w:t>成果等级由高到低排列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，不填写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lang w:val="en-US" w:eastAsia="zh-CN"/>
              </w:rPr>
              <w:t>表格未列出的无关成果或无效数据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；</w:t>
            </w:r>
          </w:p>
          <w:p w14:paraId="6211C26E">
            <w:pPr>
              <w:numPr>
                <w:ilvl w:val="0"/>
                <w:numId w:val="1"/>
              </w:numPr>
              <w:spacing w:line="260" w:lineRule="exact"/>
              <w:jc w:val="left"/>
              <w:rPr>
                <w:rFonts w:hint="eastAsia" w:ascii="Times New Roman" w:hAnsi="Times New Roman"/>
                <w:color w:val="auto"/>
                <w:sz w:val="18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表格内容请</w:t>
            </w:r>
            <w:r>
              <w:rPr>
                <w:rFonts w:hint="eastAsia" w:ascii="Times New Roman" w:hAnsi="Times New Roman"/>
                <w:b/>
                <w:bCs/>
                <w:color w:val="auto"/>
                <w:sz w:val="18"/>
                <w:szCs w:val="21"/>
              </w:rPr>
              <w:t>保持在1页以内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，考生可适当缩小本人填写部分的字号，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lang w:val="en-US" w:eastAsia="zh-CN"/>
              </w:rPr>
              <w:t>可以</w:t>
            </w:r>
            <w:r>
              <w:rPr>
                <w:rFonts w:hint="eastAsia" w:ascii="Times New Roman" w:hAnsi="Times New Roman"/>
                <w:b/>
                <w:bCs/>
                <w:color w:val="auto"/>
                <w:sz w:val="18"/>
                <w:szCs w:val="21"/>
                <w:lang w:val="en-US" w:eastAsia="zh-CN"/>
              </w:rPr>
              <w:t>加行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  <w:lang w:val="en-US" w:eastAsia="zh-CN"/>
              </w:rPr>
              <w:t>，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但</w:t>
            </w:r>
            <w:r>
              <w:rPr>
                <w:rFonts w:hint="eastAsia" w:ascii="Times New Roman" w:hAnsi="Times New Roman"/>
                <w:b/>
                <w:bCs/>
                <w:color w:val="auto"/>
                <w:sz w:val="18"/>
                <w:szCs w:val="21"/>
              </w:rPr>
              <w:t>不得更改表格样式，</w:t>
            </w:r>
            <w:r>
              <w:rPr>
                <w:rFonts w:hint="eastAsia" w:ascii="Times New Roman" w:hAnsi="Times New Roman"/>
                <w:b/>
                <w:bCs/>
                <w:color w:val="auto"/>
                <w:sz w:val="18"/>
                <w:szCs w:val="21"/>
                <w:lang w:val="en-US" w:eastAsia="zh-CN"/>
              </w:rPr>
              <w:t>不得</w:t>
            </w:r>
            <w:r>
              <w:rPr>
                <w:rFonts w:hint="eastAsia" w:ascii="Times New Roman" w:hAnsi="Times New Roman"/>
                <w:b/>
                <w:bCs/>
                <w:color w:val="auto"/>
                <w:sz w:val="18"/>
                <w:szCs w:val="21"/>
              </w:rPr>
              <w:t>加页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；</w:t>
            </w:r>
          </w:p>
          <w:p w14:paraId="7730D783">
            <w:pPr>
              <w:keepLines/>
              <w:numPr>
                <w:ilvl w:val="0"/>
                <w:numId w:val="1"/>
              </w:numPr>
              <w:spacing w:line="260" w:lineRule="exact"/>
              <w:jc w:val="left"/>
              <w:rPr>
                <w:rFonts w:ascii="Times New Roman" w:hAnsi="Times New Roman"/>
                <w:color w:val="auto"/>
                <w:sz w:val="18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佐证材料复印/扫描件应包括：</w:t>
            </w:r>
            <w:r>
              <w:rPr>
                <w:rFonts w:hint="eastAsia" w:ascii="Times New Roman" w:hAnsi="Times New Roman"/>
                <w:b/>
                <w:bCs/>
                <w:color w:val="auto"/>
                <w:sz w:val="18"/>
                <w:szCs w:val="21"/>
              </w:rPr>
              <w:t>①论文：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中文论文的“知网”查询截图/外文论文的高校图书馆或省、市公共图书馆的检索证明、封皮、版权页、目录和正文，须见刊。</w:t>
            </w:r>
            <w:r>
              <w:rPr>
                <w:rFonts w:hint="eastAsia" w:ascii="Times New Roman" w:hAnsi="Times New Roman"/>
                <w:b/>
                <w:bCs/>
                <w:color w:val="auto"/>
                <w:sz w:val="18"/>
                <w:szCs w:val="21"/>
              </w:rPr>
              <w:t>②著作：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封皮、版权页、目录。</w:t>
            </w:r>
            <w:r>
              <w:rPr>
                <w:rFonts w:hint="eastAsia" w:ascii="Times New Roman" w:hAnsi="Times New Roman"/>
                <w:b/>
                <w:bCs/>
                <w:color w:val="auto"/>
                <w:sz w:val="18"/>
                <w:szCs w:val="21"/>
              </w:rPr>
              <w:t>③科研项目：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立项通知书、结项证书（含本人姓名和印章页）；</w:t>
            </w:r>
            <w:r>
              <w:rPr>
                <w:rFonts w:hint="eastAsia" w:ascii="Times New Roman" w:hAnsi="Times New Roman"/>
                <w:b/>
                <w:bCs/>
                <w:color w:val="auto"/>
                <w:sz w:val="18"/>
                <w:szCs w:val="21"/>
              </w:rPr>
              <w:t>④奖项：</w:t>
            </w: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证书含印章页。</w:t>
            </w:r>
          </w:p>
          <w:p w14:paraId="345CE224">
            <w:pPr>
              <w:keepLines/>
              <w:numPr>
                <w:ilvl w:val="0"/>
                <w:numId w:val="1"/>
              </w:numPr>
              <w:spacing w:line="260" w:lineRule="exact"/>
              <w:jc w:val="left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21"/>
              </w:rPr>
              <w:t>纸质佐证材料应以调整排版、双面印制等方式，确保简要、清晰。用红笔圈出个人信息后，按以下填表顺序分类排列。</w:t>
            </w:r>
          </w:p>
        </w:tc>
      </w:tr>
      <w:tr w14:paraId="43981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185" w:type="dxa"/>
            <w:gridSpan w:val="9"/>
            <w:noWrap w:val="0"/>
            <w:vAlign w:val="top"/>
          </w:tcPr>
          <w:p w14:paraId="15D1ED0B">
            <w:pPr>
              <w:keepLines/>
              <w:jc w:val="left"/>
              <w:rPr>
                <w:rFonts w:hint="eastAsia" w:ascii="Times New Roman" w:hAnsi="Times New Roman" w:eastAsia="黑体" w:cs="黑体"/>
                <w:color w:val="auto"/>
                <w:sz w:val="24"/>
                <w:szCs w:val="32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32"/>
                <w:lang w:val="en-US" w:eastAsia="zh-CN"/>
              </w:rPr>
              <w:t>一</w:t>
            </w: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32"/>
              </w:rPr>
              <w:t>、近5年</w:t>
            </w: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32"/>
                <w:lang w:val="en-US" w:eastAsia="zh-CN"/>
              </w:rPr>
              <w:t>主要</w:t>
            </w: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32"/>
              </w:rPr>
              <w:t>科研项目</w:t>
            </w:r>
            <w:r>
              <w:rPr>
                <w:rFonts w:hint="eastAsia" w:ascii="宋体" w:hAnsi="宋体" w:cs="宋体"/>
                <w:color w:val="auto"/>
                <w:sz w:val="18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sz w:val="18"/>
                <w:szCs w:val="21"/>
                <w:lang w:val="en-US" w:eastAsia="zh-CN"/>
              </w:rPr>
              <w:t>所有项目需为主持</w:t>
            </w:r>
            <w:r>
              <w:rPr>
                <w:rFonts w:hint="eastAsia" w:ascii="宋体" w:hAnsi="宋体" w:cs="宋体"/>
                <w:color w:val="auto"/>
                <w:sz w:val="18"/>
                <w:szCs w:val="21"/>
                <w:lang w:eastAsia="zh-CN"/>
              </w:rPr>
              <w:t>）</w:t>
            </w:r>
          </w:p>
        </w:tc>
      </w:tr>
      <w:tr w14:paraId="7E649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10" w:type="dxa"/>
            <w:noWrap w:val="0"/>
            <w:vAlign w:val="top"/>
          </w:tcPr>
          <w:p w14:paraId="4220FE1C">
            <w:pPr>
              <w:keepLines/>
              <w:jc w:val="left"/>
              <w:rPr>
                <w:rFonts w:hint="eastAsia"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时间</w:t>
            </w:r>
          </w:p>
        </w:tc>
        <w:tc>
          <w:tcPr>
            <w:tcW w:w="5329" w:type="dxa"/>
            <w:gridSpan w:val="4"/>
            <w:noWrap w:val="0"/>
            <w:vAlign w:val="top"/>
          </w:tcPr>
          <w:p w14:paraId="3C55DFB6">
            <w:pPr>
              <w:keepLines/>
              <w:jc w:val="left"/>
              <w:rPr>
                <w:rFonts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项目名称</w:t>
            </w:r>
          </w:p>
        </w:tc>
        <w:tc>
          <w:tcPr>
            <w:tcW w:w="2456" w:type="dxa"/>
            <w:gridSpan w:val="2"/>
            <w:noWrap w:val="0"/>
            <w:vAlign w:val="top"/>
          </w:tcPr>
          <w:p w14:paraId="06FD0C4B">
            <w:pPr>
              <w:keepLines/>
              <w:jc w:val="left"/>
              <w:rPr>
                <w:rFonts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项目下达单位</w:t>
            </w:r>
          </w:p>
        </w:tc>
        <w:tc>
          <w:tcPr>
            <w:tcW w:w="2490" w:type="dxa"/>
            <w:gridSpan w:val="2"/>
            <w:noWrap w:val="0"/>
            <w:vAlign w:val="top"/>
          </w:tcPr>
          <w:p w14:paraId="210B9751">
            <w:pPr>
              <w:keepLines/>
              <w:spacing w:line="300" w:lineRule="auto"/>
              <w:jc w:val="center"/>
              <w:rPr>
                <w:rFonts w:hint="eastAsia"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得分</w:t>
            </w:r>
          </w:p>
        </w:tc>
      </w:tr>
      <w:tr w14:paraId="6DCDF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10" w:type="dxa"/>
            <w:noWrap w:val="0"/>
            <w:vAlign w:val="top"/>
          </w:tcPr>
          <w:p w14:paraId="79ECCB8C">
            <w:pPr>
              <w:keepLines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2"/>
              </w:rPr>
              <w:t>202205</w:t>
            </w:r>
          </w:p>
        </w:tc>
        <w:tc>
          <w:tcPr>
            <w:tcW w:w="5329" w:type="dxa"/>
            <w:gridSpan w:val="4"/>
            <w:noWrap w:val="0"/>
            <w:vAlign w:val="top"/>
          </w:tcPr>
          <w:p w14:paraId="579C97DE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2"/>
              </w:rPr>
              <w:t>教育改革背景下教师专业伦理实证研究</w:t>
            </w:r>
          </w:p>
        </w:tc>
        <w:tc>
          <w:tcPr>
            <w:tcW w:w="2456" w:type="dxa"/>
            <w:gridSpan w:val="2"/>
            <w:noWrap w:val="0"/>
            <w:vAlign w:val="top"/>
          </w:tcPr>
          <w:p w14:paraId="47FAEE01">
            <w:pPr>
              <w:keepLines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2"/>
              </w:rPr>
              <w:t>四川省教育厅</w:t>
            </w:r>
          </w:p>
        </w:tc>
        <w:tc>
          <w:tcPr>
            <w:tcW w:w="2490" w:type="dxa"/>
            <w:gridSpan w:val="2"/>
            <w:noWrap w:val="0"/>
            <w:vAlign w:val="top"/>
          </w:tcPr>
          <w:p w14:paraId="21D90D09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</w:tr>
      <w:tr w14:paraId="32D17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10" w:type="dxa"/>
            <w:noWrap w:val="0"/>
            <w:vAlign w:val="top"/>
          </w:tcPr>
          <w:p w14:paraId="412FC080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2"/>
              </w:rPr>
            </w:pPr>
          </w:p>
        </w:tc>
        <w:tc>
          <w:tcPr>
            <w:tcW w:w="5329" w:type="dxa"/>
            <w:gridSpan w:val="4"/>
            <w:noWrap w:val="0"/>
            <w:vAlign w:val="top"/>
          </w:tcPr>
          <w:p w14:paraId="4D616FE0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2"/>
              </w:rPr>
            </w:pPr>
          </w:p>
        </w:tc>
        <w:tc>
          <w:tcPr>
            <w:tcW w:w="2456" w:type="dxa"/>
            <w:gridSpan w:val="2"/>
            <w:noWrap w:val="0"/>
            <w:vAlign w:val="top"/>
          </w:tcPr>
          <w:p w14:paraId="7B0C2FB3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2"/>
              </w:rPr>
            </w:pPr>
          </w:p>
        </w:tc>
        <w:tc>
          <w:tcPr>
            <w:tcW w:w="2490" w:type="dxa"/>
            <w:gridSpan w:val="2"/>
            <w:noWrap w:val="0"/>
            <w:vAlign w:val="top"/>
          </w:tcPr>
          <w:p w14:paraId="61DE918B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</w:tr>
      <w:tr w14:paraId="193FD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185" w:type="dxa"/>
            <w:gridSpan w:val="9"/>
            <w:noWrap w:val="0"/>
            <w:vAlign w:val="top"/>
          </w:tcPr>
          <w:p w14:paraId="1EBF6CD4">
            <w:pPr>
              <w:keepLines/>
              <w:jc w:val="left"/>
              <w:rPr>
                <w:rFonts w:hint="eastAsia" w:ascii="Times New Roman" w:hAnsi="Times New Roman" w:eastAsia="黑体" w:cs="黑体"/>
                <w:color w:val="auto"/>
                <w:sz w:val="24"/>
                <w:szCs w:val="32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32"/>
                <w:lang w:val="en-US" w:eastAsia="zh-CN"/>
              </w:rPr>
              <w:t>二</w:t>
            </w: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32"/>
              </w:rPr>
              <w:t>、近5年主要学术</w:t>
            </w: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32"/>
                <w:lang w:val="en-US" w:eastAsia="zh-CN"/>
              </w:rPr>
              <w:t>论文</w:t>
            </w:r>
            <w:r>
              <w:rPr>
                <w:rFonts w:hint="eastAsia" w:ascii="宋体" w:hAnsi="宋体" w:cs="宋体"/>
                <w:color w:val="auto"/>
                <w:sz w:val="20"/>
                <w:szCs w:val="22"/>
              </w:rPr>
              <w:t>（</w:t>
            </w:r>
            <w:r>
              <w:rPr>
                <w:rFonts w:hint="eastAsia" w:ascii="宋体" w:hAnsi="宋体" w:cs="宋体"/>
                <w:color w:val="auto"/>
                <w:sz w:val="18"/>
                <w:szCs w:val="21"/>
              </w:rPr>
              <w:t>以独著身份或第一作者正式发表的学术研究论文，同一成果就高计算一次。</w:t>
            </w:r>
            <w:r>
              <w:rPr>
                <w:rFonts w:hint="eastAsia" w:ascii="宋体" w:hAnsi="宋体" w:cs="宋体"/>
                <w:color w:val="auto"/>
                <w:sz w:val="20"/>
                <w:szCs w:val="22"/>
              </w:rPr>
              <w:t>）</w:t>
            </w:r>
          </w:p>
        </w:tc>
      </w:tr>
      <w:tr w14:paraId="5885A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10" w:type="dxa"/>
            <w:noWrap w:val="0"/>
            <w:vAlign w:val="top"/>
          </w:tcPr>
          <w:p w14:paraId="0539B567">
            <w:pPr>
              <w:keepLines/>
              <w:jc w:val="left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时间</w:t>
            </w:r>
          </w:p>
        </w:tc>
        <w:tc>
          <w:tcPr>
            <w:tcW w:w="5329" w:type="dxa"/>
            <w:gridSpan w:val="4"/>
            <w:noWrap w:val="0"/>
            <w:vAlign w:val="top"/>
          </w:tcPr>
          <w:p w14:paraId="5E3A1BC9">
            <w:pPr>
              <w:keepLines/>
              <w:spacing w:line="300" w:lineRule="auto"/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学术</w:t>
            </w:r>
            <w:r>
              <w:rPr>
                <w:rFonts w:hint="eastAsia" w:ascii="Times New Roman" w:hAnsi="Times New Roman"/>
                <w:b/>
                <w:bCs/>
                <w:color w:val="auto"/>
                <w:lang w:val="en-US" w:eastAsia="zh-CN"/>
              </w:rPr>
              <w:t>论文</w:t>
            </w:r>
            <w:r>
              <w:rPr>
                <w:rFonts w:hint="eastAsia" w:ascii="Times New Roman" w:hAnsi="Times New Roman"/>
                <w:b/>
                <w:bCs/>
                <w:color w:val="auto"/>
              </w:rPr>
              <w:t>题目</w:t>
            </w:r>
          </w:p>
        </w:tc>
        <w:tc>
          <w:tcPr>
            <w:tcW w:w="2456" w:type="dxa"/>
            <w:gridSpan w:val="2"/>
            <w:noWrap w:val="0"/>
            <w:vAlign w:val="top"/>
          </w:tcPr>
          <w:p w14:paraId="035F2C88">
            <w:pPr>
              <w:keepLines/>
              <w:spacing w:line="300" w:lineRule="auto"/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刊物名称</w:t>
            </w:r>
          </w:p>
        </w:tc>
        <w:tc>
          <w:tcPr>
            <w:tcW w:w="1709" w:type="dxa"/>
            <w:noWrap w:val="0"/>
            <w:vAlign w:val="top"/>
          </w:tcPr>
          <w:p w14:paraId="4A012F4C">
            <w:pPr>
              <w:keepLines/>
              <w:jc w:val="left"/>
              <w:rPr>
                <w:rFonts w:hint="default" w:ascii="Times New Roman" w:hAnsi="Times New Roman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lang w:val="en-US" w:eastAsia="zh-CN"/>
              </w:rPr>
              <w:t>独著或第一作者</w:t>
            </w:r>
          </w:p>
        </w:tc>
        <w:tc>
          <w:tcPr>
            <w:tcW w:w="781" w:type="dxa"/>
            <w:noWrap w:val="0"/>
            <w:vAlign w:val="top"/>
          </w:tcPr>
          <w:p w14:paraId="2BAD40D1">
            <w:pPr>
              <w:keepLines/>
              <w:jc w:val="left"/>
              <w:rPr>
                <w:rFonts w:hint="eastAsia"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得分</w:t>
            </w:r>
          </w:p>
        </w:tc>
      </w:tr>
      <w:tr w14:paraId="7CE35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10" w:type="dxa"/>
            <w:noWrap w:val="0"/>
            <w:vAlign w:val="top"/>
          </w:tcPr>
          <w:p w14:paraId="63F88E20">
            <w:pPr>
              <w:keepLines/>
              <w:jc w:val="left"/>
              <w:rPr>
                <w:rFonts w:ascii="Times New Roman" w:hAnsi="Times New Roman"/>
                <w:color w:val="auto"/>
                <w:sz w:val="20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2"/>
              </w:rPr>
              <w:t>202205</w:t>
            </w:r>
          </w:p>
        </w:tc>
        <w:tc>
          <w:tcPr>
            <w:tcW w:w="5329" w:type="dxa"/>
            <w:gridSpan w:val="4"/>
            <w:noWrap w:val="0"/>
            <w:vAlign w:val="center"/>
          </w:tcPr>
          <w:p w14:paraId="61187E2C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高校教师专业发展的内涵与历史发展</w:t>
            </w:r>
          </w:p>
        </w:tc>
        <w:tc>
          <w:tcPr>
            <w:tcW w:w="2456" w:type="dxa"/>
            <w:gridSpan w:val="2"/>
            <w:noWrap w:val="0"/>
            <w:vAlign w:val="center"/>
          </w:tcPr>
          <w:p w14:paraId="49ABD010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《教育发展研究》</w:t>
            </w:r>
          </w:p>
        </w:tc>
        <w:tc>
          <w:tcPr>
            <w:tcW w:w="1709" w:type="dxa"/>
            <w:noWrap w:val="0"/>
            <w:vAlign w:val="top"/>
          </w:tcPr>
          <w:p w14:paraId="0CD9A927">
            <w:pPr>
              <w:keepLines/>
              <w:jc w:val="left"/>
              <w:rPr>
                <w:rFonts w:hint="eastAsia" w:ascii="Times New Roman" w:hAnsi="Times New Roman" w:eastAsiaTheme="minorEastAsia"/>
                <w:color w:val="auto"/>
                <w:sz w:val="20"/>
                <w:szCs w:val="22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2"/>
                <w:lang w:val="en-US" w:eastAsia="zh-CN"/>
              </w:rPr>
              <w:t>独著</w:t>
            </w:r>
          </w:p>
        </w:tc>
        <w:tc>
          <w:tcPr>
            <w:tcW w:w="781" w:type="dxa"/>
            <w:noWrap w:val="0"/>
            <w:vAlign w:val="top"/>
          </w:tcPr>
          <w:p w14:paraId="12334BB7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2"/>
              </w:rPr>
            </w:pPr>
          </w:p>
        </w:tc>
      </w:tr>
      <w:tr w14:paraId="6316E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10" w:type="dxa"/>
            <w:shd w:val="clear" w:color="auto" w:fill="auto"/>
            <w:noWrap w:val="0"/>
            <w:vAlign w:val="center"/>
          </w:tcPr>
          <w:p w14:paraId="7D277A87">
            <w:pPr>
              <w:keepLines/>
              <w:jc w:val="left"/>
              <w:rPr>
                <w:rFonts w:hint="eastAsia" w:ascii="Times New Roman" w:hAnsi="Times New Roman" w:eastAsiaTheme="minorEastAsia" w:cstheme="minorBidi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202302</w:t>
            </w:r>
          </w:p>
        </w:tc>
        <w:tc>
          <w:tcPr>
            <w:tcW w:w="5329" w:type="dxa"/>
            <w:gridSpan w:val="4"/>
            <w:shd w:val="clear" w:color="auto" w:fill="auto"/>
            <w:noWrap w:val="0"/>
            <w:vAlign w:val="center"/>
          </w:tcPr>
          <w:p w14:paraId="0A76BA0E">
            <w:pPr>
              <w:keepLines/>
              <w:jc w:val="left"/>
              <w:rPr>
                <w:rFonts w:hint="eastAsia" w:ascii="Times New Roman" w:hAnsi="Times New Roman" w:eastAsiaTheme="minorEastAsia" w:cstheme="minorBidi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全日制教育硕士就业流动及其影响因素</w:t>
            </w:r>
          </w:p>
        </w:tc>
        <w:tc>
          <w:tcPr>
            <w:tcW w:w="2456" w:type="dxa"/>
            <w:gridSpan w:val="2"/>
            <w:shd w:val="clear" w:color="auto" w:fill="auto"/>
            <w:noWrap w:val="0"/>
            <w:vAlign w:val="center"/>
          </w:tcPr>
          <w:p w14:paraId="24F1EF85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《四川师范大学学报》</w:t>
            </w:r>
          </w:p>
          <w:p w14:paraId="5D8AF40A">
            <w:pPr>
              <w:keepLines/>
              <w:jc w:val="left"/>
              <w:rPr>
                <w:rFonts w:hint="eastAsia" w:ascii="Times New Roman" w:hAnsi="Times New Roman" w:eastAsiaTheme="minorEastAsia" w:cstheme="minorBidi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（社会科学版）</w:t>
            </w:r>
          </w:p>
        </w:tc>
        <w:tc>
          <w:tcPr>
            <w:tcW w:w="1709" w:type="dxa"/>
            <w:shd w:val="clear" w:color="auto" w:fill="auto"/>
            <w:noWrap w:val="0"/>
            <w:vAlign w:val="center"/>
          </w:tcPr>
          <w:p w14:paraId="7866DFD4">
            <w:pPr>
              <w:keepLines/>
              <w:jc w:val="left"/>
              <w:rPr>
                <w:rFonts w:hint="eastAsia" w:ascii="Times New Roman" w:hAnsi="Times New Roman" w:eastAsiaTheme="minorEastAsia" w:cstheme="minorBidi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>第一作者</w:t>
            </w:r>
          </w:p>
        </w:tc>
        <w:tc>
          <w:tcPr>
            <w:tcW w:w="781" w:type="dxa"/>
            <w:noWrap w:val="0"/>
            <w:vAlign w:val="top"/>
          </w:tcPr>
          <w:p w14:paraId="11044E77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2"/>
              </w:rPr>
            </w:pPr>
          </w:p>
        </w:tc>
      </w:tr>
      <w:tr w14:paraId="02688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10" w:type="dxa"/>
            <w:shd w:val="clear" w:color="auto" w:fill="auto"/>
            <w:noWrap w:val="0"/>
            <w:vAlign w:val="center"/>
          </w:tcPr>
          <w:p w14:paraId="3368E7FD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5329" w:type="dxa"/>
            <w:gridSpan w:val="4"/>
            <w:shd w:val="clear" w:color="auto" w:fill="auto"/>
            <w:noWrap w:val="0"/>
            <w:vAlign w:val="center"/>
          </w:tcPr>
          <w:p w14:paraId="22C66A90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2456" w:type="dxa"/>
            <w:gridSpan w:val="2"/>
            <w:shd w:val="clear" w:color="auto" w:fill="auto"/>
            <w:noWrap w:val="0"/>
            <w:vAlign w:val="center"/>
          </w:tcPr>
          <w:p w14:paraId="3728F1DA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709" w:type="dxa"/>
            <w:shd w:val="clear" w:color="auto" w:fill="auto"/>
            <w:noWrap w:val="0"/>
            <w:vAlign w:val="center"/>
          </w:tcPr>
          <w:p w14:paraId="3534C594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781" w:type="dxa"/>
            <w:noWrap w:val="0"/>
            <w:vAlign w:val="top"/>
          </w:tcPr>
          <w:p w14:paraId="6D4DD571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2"/>
              </w:rPr>
            </w:pPr>
          </w:p>
        </w:tc>
      </w:tr>
      <w:tr w14:paraId="020C2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185" w:type="dxa"/>
            <w:gridSpan w:val="9"/>
            <w:noWrap w:val="0"/>
            <w:vAlign w:val="top"/>
          </w:tcPr>
          <w:p w14:paraId="20A6330D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2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32"/>
                <w:lang w:val="en-US" w:eastAsia="zh-CN"/>
              </w:rPr>
              <w:t>三</w:t>
            </w: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32"/>
              </w:rPr>
              <w:t>、近5年主要</w:t>
            </w: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32"/>
                <w:lang w:val="en-US" w:eastAsia="zh-CN"/>
              </w:rPr>
              <w:t>著作</w:t>
            </w:r>
            <w:r>
              <w:rPr>
                <w:rFonts w:hint="eastAsia" w:ascii="宋体" w:hAnsi="宋体" w:cs="宋体"/>
                <w:color w:val="auto"/>
                <w:sz w:val="18"/>
                <w:szCs w:val="21"/>
              </w:rPr>
              <w:t>（再版著作（须注明），修订部分不足40%的不记分。2.再版著作、资料汇编和论文集只认定主编分值一次，分数为相应出版社对应分数的五分之一；其中资料汇编和论文集的单篇论文不计分。）</w:t>
            </w:r>
          </w:p>
        </w:tc>
      </w:tr>
      <w:tr w14:paraId="21EAD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10" w:type="dxa"/>
            <w:shd w:val="clear" w:color="auto" w:fill="auto"/>
            <w:noWrap w:val="0"/>
            <w:vAlign w:val="top"/>
          </w:tcPr>
          <w:p w14:paraId="2B3A8E79">
            <w:pPr>
              <w:keepLines/>
              <w:spacing w:line="300" w:lineRule="auto"/>
              <w:jc w:val="center"/>
              <w:rPr>
                <w:rFonts w:hint="eastAsia" w:ascii="Times New Roman" w:hAnsi="Times New Roman" w:eastAsiaTheme="minor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时间</w:t>
            </w:r>
          </w:p>
        </w:tc>
        <w:tc>
          <w:tcPr>
            <w:tcW w:w="5329" w:type="dxa"/>
            <w:gridSpan w:val="4"/>
            <w:shd w:val="clear" w:color="auto" w:fill="auto"/>
            <w:noWrap w:val="0"/>
            <w:vAlign w:val="top"/>
          </w:tcPr>
          <w:p w14:paraId="49B99223">
            <w:pPr>
              <w:keepLines/>
              <w:spacing w:line="300" w:lineRule="auto"/>
              <w:jc w:val="center"/>
              <w:rPr>
                <w:rFonts w:hint="eastAsia" w:ascii="Times New Roman" w:hAnsi="Times New Roman" w:eastAsiaTheme="minor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书名</w:t>
            </w:r>
          </w:p>
        </w:tc>
        <w:tc>
          <w:tcPr>
            <w:tcW w:w="2456" w:type="dxa"/>
            <w:gridSpan w:val="2"/>
            <w:shd w:val="clear" w:color="auto" w:fill="auto"/>
            <w:noWrap w:val="0"/>
            <w:vAlign w:val="top"/>
          </w:tcPr>
          <w:p w14:paraId="483699A5">
            <w:pPr>
              <w:keepLines/>
              <w:spacing w:line="300" w:lineRule="auto"/>
              <w:jc w:val="center"/>
              <w:rPr>
                <w:rFonts w:hint="eastAsia" w:ascii="Times New Roman" w:hAnsi="Times New Roman" w:eastAsiaTheme="minor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出版单位</w:t>
            </w:r>
          </w:p>
        </w:tc>
        <w:tc>
          <w:tcPr>
            <w:tcW w:w="1709" w:type="dxa"/>
            <w:shd w:val="clear" w:color="auto" w:fill="auto"/>
            <w:noWrap w:val="0"/>
            <w:vAlign w:val="top"/>
          </w:tcPr>
          <w:p w14:paraId="00FD464A">
            <w:pPr>
              <w:keepLines/>
              <w:spacing w:line="300" w:lineRule="auto"/>
              <w:jc w:val="center"/>
              <w:rPr>
                <w:rFonts w:hint="default" w:ascii="Times New Roman" w:hAnsi="Times New Roman" w:eastAsiaTheme="minor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lang w:val="en-US" w:eastAsia="zh-CN"/>
              </w:rPr>
              <w:t>是否再版著作</w:t>
            </w:r>
          </w:p>
        </w:tc>
        <w:tc>
          <w:tcPr>
            <w:tcW w:w="781" w:type="dxa"/>
            <w:shd w:val="clear" w:color="auto" w:fill="auto"/>
            <w:noWrap w:val="0"/>
            <w:vAlign w:val="top"/>
          </w:tcPr>
          <w:p w14:paraId="39AE0442">
            <w:pPr>
              <w:keepLines/>
              <w:spacing w:line="300" w:lineRule="auto"/>
              <w:jc w:val="center"/>
              <w:rPr>
                <w:rFonts w:hint="eastAsia" w:ascii="Times New Roman" w:hAnsi="Times New Roman" w:eastAsiaTheme="minor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得分</w:t>
            </w:r>
          </w:p>
        </w:tc>
      </w:tr>
      <w:tr w14:paraId="372FB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10" w:type="dxa"/>
            <w:shd w:val="clear" w:color="auto" w:fill="auto"/>
            <w:noWrap w:val="0"/>
            <w:vAlign w:val="center"/>
          </w:tcPr>
          <w:p w14:paraId="4368DDF5">
            <w:pPr>
              <w:keepLines/>
              <w:jc w:val="left"/>
              <w:rPr>
                <w:rFonts w:hint="eastAsia" w:ascii="Times New Roman" w:hAnsi="Times New Roman" w:eastAsiaTheme="minorEastAsia" w:cstheme="minorBidi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202005</w:t>
            </w:r>
          </w:p>
        </w:tc>
        <w:tc>
          <w:tcPr>
            <w:tcW w:w="5329" w:type="dxa"/>
            <w:gridSpan w:val="4"/>
            <w:shd w:val="clear" w:color="auto" w:fill="auto"/>
            <w:noWrap w:val="0"/>
            <w:vAlign w:val="center"/>
          </w:tcPr>
          <w:p w14:paraId="741927B3">
            <w:pPr>
              <w:keepLines/>
              <w:jc w:val="left"/>
              <w:rPr>
                <w:rFonts w:hint="eastAsia" w:ascii="Times New Roman" w:hAnsi="Times New Roman" w:eastAsiaTheme="minorEastAsia" w:cstheme="minorBidi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theme="minorBidi"/>
                <w:color w:val="auto"/>
                <w:kern w:val="2"/>
                <w:sz w:val="20"/>
                <w:szCs w:val="20"/>
                <w:lang w:val="en-US" w:eastAsia="zh-CN" w:bidi="ar-SA"/>
              </w:rPr>
              <w:t>《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数字时代的教育</w:t>
            </w:r>
            <w:r>
              <w:rPr>
                <w:rFonts w:hint="eastAsia" w:ascii="Times New Roman" w:hAnsi="Times New Roman" w:cstheme="minorBidi"/>
                <w:color w:val="auto"/>
                <w:kern w:val="2"/>
                <w:sz w:val="20"/>
                <w:szCs w:val="20"/>
                <w:lang w:val="en-US" w:eastAsia="zh-CN" w:bidi="ar-SA"/>
              </w:rPr>
              <w:t>》</w:t>
            </w:r>
          </w:p>
        </w:tc>
        <w:tc>
          <w:tcPr>
            <w:tcW w:w="2456" w:type="dxa"/>
            <w:gridSpan w:val="2"/>
            <w:shd w:val="clear" w:color="auto" w:fill="auto"/>
            <w:noWrap w:val="0"/>
            <w:vAlign w:val="center"/>
          </w:tcPr>
          <w:p w14:paraId="0E44A06D">
            <w:pPr>
              <w:keepLines/>
              <w:jc w:val="left"/>
              <w:rPr>
                <w:rFonts w:hint="eastAsia" w:ascii="Times New Roman" w:hAnsi="Times New Roman" w:eastAsiaTheme="minorEastAsia" w:cstheme="minorBidi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四川大学出版社</w:t>
            </w:r>
          </w:p>
        </w:tc>
        <w:tc>
          <w:tcPr>
            <w:tcW w:w="1709" w:type="dxa"/>
            <w:shd w:val="clear" w:color="auto" w:fill="auto"/>
            <w:noWrap w:val="0"/>
            <w:vAlign w:val="center"/>
          </w:tcPr>
          <w:p w14:paraId="3840F82F">
            <w:pPr>
              <w:keepLines/>
              <w:jc w:val="left"/>
              <w:rPr>
                <w:rFonts w:hint="eastAsia" w:ascii="Times New Roman" w:hAnsi="Times New Roman" w:eastAsiaTheme="minorEastAsia" w:cstheme="minorBidi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781" w:type="dxa"/>
            <w:shd w:val="clear" w:color="auto" w:fill="auto"/>
            <w:noWrap w:val="0"/>
            <w:vAlign w:val="center"/>
          </w:tcPr>
          <w:p w14:paraId="67174756">
            <w:pPr>
              <w:keepLines/>
              <w:jc w:val="left"/>
              <w:rPr>
                <w:rFonts w:hint="eastAsia" w:ascii="Times New Roman" w:hAnsi="Times New Roman" w:eastAsiaTheme="minorEastAsia" w:cstheme="minorBidi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 w14:paraId="18E88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10" w:type="dxa"/>
            <w:noWrap w:val="0"/>
            <w:vAlign w:val="top"/>
          </w:tcPr>
          <w:p w14:paraId="268ED222">
            <w:pPr>
              <w:keepLines/>
              <w:jc w:val="left"/>
              <w:rPr>
                <w:rFonts w:hint="default" w:ascii="Times New Roman" w:hAnsi="Times New Roman" w:eastAsiaTheme="minorEastAsia"/>
                <w:color w:val="auto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2"/>
                <w:lang w:val="en-US" w:eastAsia="zh-CN"/>
              </w:rPr>
              <w:t>202306</w:t>
            </w:r>
          </w:p>
        </w:tc>
        <w:tc>
          <w:tcPr>
            <w:tcW w:w="5329" w:type="dxa"/>
            <w:gridSpan w:val="4"/>
            <w:noWrap w:val="0"/>
            <w:vAlign w:val="top"/>
          </w:tcPr>
          <w:p w14:paraId="5CB9FA83">
            <w:pPr>
              <w:keepLines/>
              <w:jc w:val="left"/>
              <w:rPr>
                <w:rFonts w:hint="default" w:ascii="Times New Roman" w:hAnsi="Times New Roman" w:eastAsiaTheme="minorEastAsia"/>
                <w:color w:val="auto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2"/>
                <w:lang w:val="en-US" w:eastAsia="zh-CN"/>
              </w:rPr>
              <w:t>《中小学教育》</w:t>
            </w:r>
          </w:p>
        </w:tc>
        <w:tc>
          <w:tcPr>
            <w:tcW w:w="2456" w:type="dxa"/>
            <w:gridSpan w:val="2"/>
            <w:noWrap w:val="0"/>
            <w:vAlign w:val="top"/>
          </w:tcPr>
          <w:p w14:paraId="5F0FA8DC">
            <w:pPr>
              <w:keepLines/>
              <w:jc w:val="left"/>
              <w:rPr>
                <w:rFonts w:hint="default" w:ascii="Times New Roman" w:hAnsi="Times New Roman" w:eastAsiaTheme="minorEastAsia"/>
                <w:color w:val="auto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2"/>
                <w:lang w:val="en-US" w:eastAsia="zh-CN"/>
              </w:rPr>
              <w:t>四川大学出版社</w:t>
            </w:r>
          </w:p>
        </w:tc>
        <w:tc>
          <w:tcPr>
            <w:tcW w:w="1709" w:type="dxa"/>
            <w:noWrap w:val="0"/>
            <w:vAlign w:val="top"/>
          </w:tcPr>
          <w:p w14:paraId="485A4B4C">
            <w:pPr>
              <w:keepLines/>
              <w:jc w:val="left"/>
              <w:rPr>
                <w:rFonts w:hint="eastAsia" w:ascii="Times New Roman" w:hAnsi="Times New Roman" w:eastAsiaTheme="minorEastAsia"/>
                <w:color w:val="auto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2"/>
                <w:lang w:val="en-US" w:eastAsia="zh-CN"/>
              </w:rPr>
              <w:t>是（修订60%）</w:t>
            </w:r>
          </w:p>
        </w:tc>
        <w:tc>
          <w:tcPr>
            <w:tcW w:w="781" w:type="dxa"/>
            <w:noWrap w:val="0"/>
            <w:vAlign w:val="top"/>
          </w:tcPr>
          <w:p w14:paraId="227E7310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2"/>
              </w:rPr>
            </w:pPr>
          </w:p>
        </w:tc>
      </w:tr>
      <w:tr w14:paraId="79436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10" w:type="dxa"/>
            <w:noWrap w:val="0"/>
            <w:vAlign w:val="top"/>
          </w:tcPr>
          <w:p w14:paraId="3C9A6809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2"/>
                <w:lang w:val="en-US" w:eastAsia="zh-CN"/>
              </w:rPr>
            </w:pPr>
          </w:p>
        </w:tc>
        <w:tc>
          <w:tcPr>
            <w:tcW w:w="5329" w:type="dxa"/>
            <w:gridSpan w:val="4"/>
            <w:noWrap w:val="0"/>
            <w:vAlign w:val="top"/>
          </w:tcPr>
          <w:p w14:paraId="30C4214E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2"/>
                <w:lang w:val="en-US" w:eastAsia="zh-CN"/>
              </w:rPr>
            </w:pPr>
          </w:p>
        </w:tc>
        <w:tc>
          <w:tcPr>
            <w:tcW w:w="2456" w:type="dxa"/>
            <w:gridSpan w:val="2"/>
            <w:noWrap w:val="0"/>
            <w:vAlign w:val="top"/>
          </w:tcPr>
          <w:p w14:paraId="7FDAEA8E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2"/>
                <w:lang w:val="en-US" w:eastAsia="zh-CN"/>
              </w:rPr>
            </w:pPr>
          </w:p>
        </w:tc>
        <w:tc>
          <w:tcPr>
            <w:tcW w:w="1709" w:type="dxa"/>
            <w:noWrap w:val="0"/>
            <w:vAlign w:val="top"/>
          </w:tcPr>
          <w:p w14:paraId="56FA360A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2"/>
                <w:lang w:val="en-US" w:eastAsia="zh-CN"/>
              </w:rPr>
            </w:pPr>
          </w:p>
        </w:tc>
        <w:tc>
          <w:tcPr>
            <w:tcW w:w="781" w:type="dxa"/>
            <w:noWrap w:val="0"/>
            <w:vAlign w:val="top"/>
          </w:tcPr>
          <w:p w14:paraId="7AE1E0B4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2"/>
              </w:rPr>
            </w:pPr>
          </w:p>
        </w:tc>
      </w:tr>
      <w:tr w14:paraId="12442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185" w:type="dxa"/>
            <w:gridSpan w:val="9"/>
            <w:noWrap w:val="0"/>
            <w:vAlign w:val="top"/>
          </w:tcPr>
          <w:p w14:paraId="03C8F404">
            <w:pPr>
              <w:keepLines/>
              <w:jc w:val="left"/>
              <w:rPr>
                <w:rFonts w:hint="default" w:ascii="Times New Roman" w:hAnsi="Times New Roman" w:eastAsia="黑体" w:cs="黑体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32"/>
                <w:lang w:val="en-US" w:eastAsia="zh-CN"/>
              </w:rPr>
              <w:t>四</w:t>
            </w: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32"/>
              </w:rPr>
              <w:t>、近5年主要</w:t>
            </w: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32"/>
                <w:lang w:val="en-US" w:eastAsia="zh-CN"/>
              </w:rPr>
              <w:t>科研成果获奖</w:t>
            </w:r>
            <w:r>
              <w:rPr>
                <w:rFonts w:hint="eastAsia" w:ascii="宋体" w:hAnsi="宋体" w:cs="宋体"/>
                <w:color w:val="auto"/>
                <w:sz w:val="18"/>
                <w:szCs w:val="21"/>
                <w:lang w:val="en-US" w:eastAsia="zh-CN"/>
              </w:rPr>
              <w:t>（个人成果得分=成果总分/个人排名。）</w:t>
            </w:r>
          </w:p>
        </w:tc>
      </w:tr>
      <w:tr w14:paraId="62293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10" w:type="dxa"/>
            <w:noWrap w:val="0"/>
            <w:vAlign w:val="top"/>
          </w:tcPr>
          <w:p w14:paraId="1C0D550E">
            <w:pPr>
              <w:keepLines/>
              <w:jc w:val="left"/>
              <w:rPr>
                <w:rFonts w:hint="eastAsia"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时间</w:t>
            </w:r>
          </w:p>
        </w:tc>
        <w:tc>
          <w:tcPr>
            <w:tcW w:w="5329" w:type="dxa"/>
            <w:gridSpan w:val="4"/>
            <w:noWrap w:val="0"/>
            <w:vAlign w:val="top"/>
          </w:tcPr>
          <w:p w14:paraId="5DE89C49">
            <w:pPr>
              <w:keepLines/>
              <w:jc w:val="left"/>
              <w:rPr>
                <w:rFonts w:hint="default" w:ascii="Times New Roman" w:hAnsi="Times New Roman" w:eastAsiaTheme="minor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lang w:val="en-US" w:eastAsia="zh-CN"/>
              </w:rPr>
              <w:t>成果名称</w:t>
            </w:r>
          </w:p>
        </w:tc>
        <w:tc>
          <w:tcPr>
            <w:tcW w:w="2456" w:type="dxa"/>
            <w:gridSpan w:val="2"/>
            <w:noWrap w:val="0"/>
            <w:vAlign w:val="top"/>
          </w:tcPr>
          <w:p w14:paraId="5244074E">
            <w:pPr>
              <w:keepLines/>
              <w:jc w:val="left"/>
              <w:rPr>
                <w:rFonts w:hint="eastAsia"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颁奖单位</w:t>
            </w:r>
          </w:p>
        </w:tc>
        <w:tc>
          <w:tcPr>
            <w:tcW w:w="1709" w:type="dxa"/>
            <w:noWrap w:val="0"/>
            <w:vAlign w:val="top"/>
          </w:tcPr>
          <w:p w14:paraId="757020BD">
            <w:pPr>
              <w:keepLines/>
              <w:jc w:val="left"/>
              <w:rPr>
                <w:rFonts w:hint="eastAsia"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个人排名</w:t>
            </w:r>
          </w:p>
        </w:tc>
        <w:tc>
          <w:tcPr>
            <w:tcW w:w="781" w:type="dxa"/>
            <w:noWrap w:val="0"/>
            <w:vAlign w:val="top"/>
          </w:tcPr>
          <w:p w14:paraId="3E2AB2F9">
            <w:pPr>
              <w:keepLines/>
              <w:jc w:val="left"/>
              <w:rPr>
                <w:rFonts w:hint="eastAsia" w:ascii="Times New Roman" w:hAnsi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</w:rPr>
              <w:t>得分</w:t>
            </w:r>
          </w:p>
        </w:tc>
      </w:tr>
      <w:tr w14:paraId="57D4C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10" w:type="dxa"/>
            <w:noWrap w:val="0"/>
            <w:vAlign w:val="center"/>
          </w:tcPr>
          <w:p w14:paraId="6C8A0EFD">
            <w:pPr>
              <w:keepLines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202103</w:t>
            </w:r>
          </w:p>
        </w:tc>
        <w:tc>
          <w:tcPr>
            <w:tcW w:w="5329" w:type="dxa"/>
            <w:gridSpan w:val="4"/>
            <w:noWrap w:val="0"/>
            <w:vAlign w:val="center"/>
          </w:tcPr>
          <w:p w14:paraId="1344B7C0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四川省2020-2021年度哲学社会科学优秀成果三等奖</w:t>
            </w:r>
          </w:p>
        </w:tc>
        <w:tc>
          <w:tcPr>
            <w:tcW w:w="2456" w:type="dxa"/>
            <w:gridSpan w:val="2"/>
            <w:noWrap w:val="0"/>
            <w:vAlign w:val="center"/>
          </w:tcPr>
          <w:p w14:paraId="7DBF385B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四川省人民政府</w:t>
            </w:r>
          </w:p>
        </w:tc>
        <w:tc>
          <w:tcPr>
            <w:tcW w:w="1709" w:type="dxa"/>
            <w:noWrap w:val="0"/>
            <w:vAlign w:val="center"/>
          </w:tcPr>
          <w:p w14:paraId="288E4FA0">
            <w:pPr>
              <w:keepLines/>
              <w:jc w:val="left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1/1</w:t>
            </w:r>
          </w:p>
        </w:tc>
        <w:tc>
          <w:tcPr>
            <w:tcW w:w="781" w:type="dxa"/>
            <w:noWrap w:val="0"/>
            <w:vAlign w:val="center"/>
          </w:tcPr>
          <w:p w14:paraId="78041542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</w:p>
        </w:tc>
      </w:tr>
      <w:tr w14:paraId="01116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10" w:type="dxa"/>
            <w:noWrap w:val="0"/>
            <w:vAlign w:val="top"/>
          </w:tcPr>
          <w:p w14:paraId="21B09FE3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2"/>
              </w:rPr>
            </w:pPr>
          </w:p>
        </w:tc>
        <w:tc>
          <w:tcPr>
            <w:tcW w:w="5329" w:type="dxa"/>
            <w:gridSpan w:val="4"/>
            <w:noWrap w:val="0"/>
            <w:vAlign w:val="top"/>
          </w:tcPr>
          <w:p w14:paraId="14FA43A1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2"/>
              </w:rPr>
            </w:pPr>
            <w:bookmarkStart w:id="0" w:name="_GoBack"/>
            <w:bookmarkEnd w:id="0"/>
          </w:p>
        </w:tc>
        <w:tc>
          <w:tcPr>
            <w:tcW w:w="2456" w:type="dxa"/>
            <w:gridSpan w:val="2"/>
            <w:noWrap w:val="0"/>
            <w:vAlign w:val="top"/>
          </w:tcPr>
          <w:p w14:paraId="266D26C4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2"/>
              </w:rPr>
            </w:pPr>
          </w:p>
        </w:tc>
        <w:tc>
          <w:tcPr>
            <w:tcW w:w="1709" w:type="dxa"/>
            <w:noWrap w:val="0"/>
            <w:vAlign w:val="top"/>
          </w:tcPr>
          <w:p w14:paraId="32CC1298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2"/>
              </w:rPr>
            </w:pPr>
          </w:p>
        </w:tc>
        <w:tc>
          <w:tcPr>
            <w:tcW w:w="781" w:type="dxa"/>
            <w:noWrap w:val="0"/>
            <w:vAlign w:val="top"/>
          </w:tcPr>
          <w:p w14:paraId="1DB16EA5">
            <w:pPr>
              <w:keepLines/>
              <w:jc w:val="left"/>
              <w:rPr>
                <w:rFonts w:hint="eastAsia" w:ascii="Times New Roman" w:hAnsi="Times New Roman"/>
                <w:color w:val="auto"/>
                <w:sz w:val="20"/>
                <w:szCs w:val="22"/>
              </w:rPr>
            </w:pPr>
          </w:p>
        </w:tc>
      </w:tr>
      <w:tr w14:paraId="2C490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85" w:type="dxa"/>
            <w:gridSpan w:val="9"/>
            <w:tcBorders>
              <w:left w:val="nil"/>
              <w:bottom w:val="nil"/>
              <w:right w:val="nil"/>
            </w:tcBorders>
            <w:noWrap w:val="0"/>
            <w:vAlign w:val="top"/>
          </w:tcPr>
          <w:p w14:paraId="5E0C2BBA">
            <w:pPr>
              <w:keepLines/>
              <w:ind w:firstLine="320" w:firstLineChars="200"/>
              <w:jc w:val="left"/>
              <w:rPr>
                <w:rFonts w:ascii="Times New Roman" w:hAnsi="Times New Roman"/>
                <w:color w:val="auto"/>
                <w:sz w:val="16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16"/>
                <w:szCs w:val="20"/>
              </w:rPr>
              <w:t>说明：考生应严格按照我校《招生简章》和学院《实施细则》填写、提交相关材料，以免在资格审查和综合考核过程中影响个人成绩。</w:t>
            </w:r>
          </w:p>
        </w:tc>
      </w:tr>
    </w:tbl>
    <w:p w14:paraId="1FAB0BB8">
      <w:pPr>
        <w:keepLines/>
        <w:spacing w:line="600" w:lineRule="auto"/>
      </w:pPr>
      <w:r>
        <w:rPr>
          <w:rFonts w:hint="eastAsia"/>
          <w:color w:val="auto"/>
        </w:rPr>
        <w:t>考生签字（手写）：</w:t>
      </w:r>
      <w:r>
        <w:rPr>
          <w:rFonts w:hint="eastAsia"/>
          <w:color w:val="auto"/>
          <w:u w:val="single"/>
        </w:rPr>
        <w:t xml:space="preserve">                 </w:t>
      </w:r>
      <w:r>
        <w:rPr>
          <w:rFonts w:hint="eastAsia"/>
          <w:color w:val="auto"/>
        </w:rPr>
        <w:t xml:space="preserve">                        日期：20</w:t>
      </w:r>
      <w:r>
        <w:rPr>
          <w:rFonts w:hint="eastAsia"/>
          <w:color w:val="auto"/>
          <w:u w:val="single"/>
        </w:rPr>
        <w:t xml:space="preserve">   </w:t>
      </w:r>
      <w:r>
        <w:rPr>
          <w:rFonts w:hint="eastAsia"/>
          <w:color w:val="auto"/>
        </w:rPr>
        <w:t>年</w:t>
      </w:r>
      <w:r>
        <w:rPr>
          <w:rFonts w:hint="eastAsia"/>
          <w:color w:val="auto"/>
          <w:u w:val="single"/>
        </w:rPr>
        <w:t xml:space="preserve">   </w:t>
      </w:r>
      <w:r>
        <w:rPr>
          <w:rFonts w:hint="eastAsia"/>
          <w:color w:val="auto"/>
        </w:rPr>
        <w:t>月</w:t>
      </w:r>
      <w:r>
        <w:rPr>
          <w:rFonts w:hint="eastAsia"/>
          <w:color w:val="auto"/>
          <w:u w:val="single"/>
        </w:rPr>
        <w:t xml:space="preserve">    </w:t>
      </w:r>
      <w:r>
        <w:rPr>
          <w:rFonts w:hint="eastAsia"/>
          <w:color w:val="auto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46A293"/>
    <w:multiLevelType w:val="singleLevel"/>
    <w:tmpl w:val="6846A293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195CEA"/>
    <w:rsid w:val="0AD3150F"/>
    <w:rsid w:val="17F46D5D"/>
    <w:rsid w:val="46BF20A2"/>
    <w:rsid w:val="73195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982</Words>
  <Characters>1064</Characters>
  <Lines>0</Lines>
  <Paragraphs>0</Paragraphs>
  <TotalTime>5</TotalTime>
  <ScaleCrop>false</ScaleCrop>
  <LinksUpToDate>false</LinksUpToDate>
  <CharactersWithSpaces>1121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2026-02-27T08:12:00Z</dcterms:created>
  <dc:creator>Sophia</dc:creator>
  <cp:lastModifiedBy>Sophia</cp:lastModifiedBy>
  <cp:lastPrinted>2026-02-27T09:20:00Z</cp:lastPrinted>
  <dcterms:modified xsi:type="dcterms:W3CDTF">2026-02-27T10:20:00Z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5EA4D9AF89944A5E939E033595502980_11</vt:lpwstr>
  </property>
  <property fmtid="{D5CDD505-2E9C-101B-9397-08002B2CF9AE}" pid="4" name="KSOTemplateDocerSaveRecord">
    <vt:lpwstr>eyJoZGlkIjoiMzFiNjE1M2RmOGU0ZjUzZjMwMTczMmUxMDZkNGVjZjIiLCJ1c2VySWQiOiI2MjM1OTUzNjQifQ==</vt:lpwstr>
  </property>
</Properties>
</file>